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4A0" w:firstRow="1" w:lastRow="0" w:firstColumn="1" w:lastColumn="0" w:noHBand="0" w:noVBand="1"/>
      </w:tblPr>
      <w:tblGrid>
        <w:gridCol w:w="4158"/>
        <w:gridCol w:w="5670"/>
      </w:tblGrid>
      <w:tr w:rsidR="00C84310" w:rsidRPr="002D4835" w:rsidTr="00DD733B">
        <w:trPr>
          <w:trHeight w:val="841"/>
        </w:trPr>
        <w:tc>
          <w:tcPr>
            <w:tcW w:w="4158" w:type="dxa"/>
            <w:shd w:val="clear" w:color="auto" w:fill="auto"/>
          </w:tcPr>
          <w:p w:rsidR="00C84310" w:rsidRPr="002611E1" w:rsidRDefault="00DD733B" w:rsidP="00D53F53">
            <w:pPr>
              <w:pStyle w:val="Heading5"/>
              <w:tabs>
                <w:tab w:val="center" w:pos="1680"/>
                <w:tab w:val="center" w:pos="6240"/>
              </w:tabs>
              <w:jc w:val="center"/>
              <w:rPr>
                <w:sz w:val="26"/>
              </w:rPr>
            </w:pPr>
            <w:r>
              <w:rPr>
                <w:sz w:val="26"/>
              </w:rPr>
              <w:t>HỘI ĐỒNG THUỐC VÀ ĐIỀU TRỊ</w:t>
            </w:r>
          </w:p>
          <w:p w:rsidR="00C84310" w:rsidRPr="002F4532" w:rsidRDefault="004F4AE2" w:rsidP="00D53F53">
            <w:pPr>
              <w:jc w:val="center"/>
              <w:rPr>
                <w:b/>
              </w:rPr>
            </w:pPr>
            <w:r>
              <w:rPr>
                <w:noProof/>
                <w:spacing w:val="-10"/>
                <w:sz w:val="26"/>
              </w:rPr>
              <mc:AlternateContent>
                <mc:Choice Requires="wps">
                  <w:drawing>
                    <wp:anchor distT="4294967295" distB="4294967295" distL="114300" distR="114300" simplePos="0" relativeHeight="251657216" behindDoc="0" locked="0" layoutInCell="1" allowOverlap="1">
                      <wp:simplePos x="0" y="0"/>
                      <wp:positionH relativeFrom="column">
                        <wp:posOffset>748665</wp:posOffset>
                      </wp:positionH>
                      <wp:positionV relativeFrom="paragraph">
                        <wp:posOffset>217169</wp:posOffset>
                      </wp:positionV>
                      <wp:extent cx="7810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8.95pt;margin-top:17.1pt;width:61.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mc:Fallback>
              </mc:AlternateContent>
            </w:r>
            <w:r w:rsidR="00C84310">
              <w:rPr>
                <w:b/>
                <w:spacing w:val="-10"/>
                <w:sz w:val="26"/>
              </w:rPr>
              <w:t>TỔ</w:t>
            </w:r>
            <w:r w:rsidR="00DD733B">
              <w:rPr>
                <w:b/>
                <w:spacing w:val="-10"/>
                <w:sz w:val="26"/>
              </w:rPr>
              <w:t xml:space="preserve"> THÔNG TIN THUỐC</w:t>
            </w:r>
          </w:p>
        </w:tc>
        <w:tc>
          <w:tcPr>
            <w:tcW w:w="5670" w:type="dxa"/>
            <w:shd w:val="clear" w:color="auto" w:fill="auto"/>
          </w:tcPr>
          <w:p w:rsidR="00C84310" w:rsidRPr="002F4532" w:rsidRDefault="00C84310" w:rsidP="00D53F53">
            <w:pPr>
              <w:pStyle w:val="Heading5"/>
              <w:tabs>
                <w:tab w:val="center" w:pos="1680"/>
                <w:tab w:val="center" w:pos="6240"/>
              </w:tabs>
              <w:jc w:val="center"/>
              <w:rPr>
                <w:b/>
                <w:spacing w:val="-10"/>
                <w:sz w:val="26"/>
              </w:rPr>
            </w:pPr>
            <w:r w:rsidRPr="002F4532">
              <w:rPr>
                <w:b/>
                <w:spacing w:val="-10"/>
                <w:sz w:val="26"/>
              </w:rPr>
              <w:t>CỘNG HÒA XÃ HỘI CHỦ NGHĨA VIỆT NAM</w:t>
            </w:r>
          </w:p>
          <w:p w:rsidR="00C84310" w:rsidRPr="002D4835" w:rsidRDefault="004F4AE2" w:rsidP="00D53F53">
            <w:pPr>
              <w:pStyle w:val="Heading5"/>
              <w:tabs>
                <w:tab w:val="center" w:pos="1680"/>
                <w:tab w:val="center" w:pos="6240"/>
              </w:tabs>
              <w:jc w:val="center"/>
              <w:rPr>
                <w:b/>
                <w:spacing w:val="-10"/>
                <w:sz w:val="26"/>
              </w:rPr>
            </w:pPr>
            <w:r>
              <w:rPr>
                <w:b/>
                <w:noProof/>
                <w:spacing w:val="-10"/>
              </w:rPr>
              <mc:AlternateContent>
                <mc:Choice Requires="wps">
                  <w:drawing>
                    <wp:anchor distT="4294967295" distB="4294967295" distL="114300" distR="114300" simplePos="0" relativeHeight="251658240" behindDoc="0" locked="0" layoutInCell="1" allowOverlap="1">
                      <wp:simplePos x="0" y="0"/>
                      <wp:positionH relativeFrom="column">
                        <wp:posOffset>701675</wp:posOffset>
                      </wp:positionH>
                      <wp:positionV relativeFrom="paragraph">
                        <wp:posOffset>188594</wp:posOffset>
                      </wp:positionV>
                      <wp:extent cx="20097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5.25pt;margin-top:14.85pt;width:158.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mc:Fallback>
              </mc:AlternateContent>
            </w:r>
            <w:r w:rsidR="00C84310" w:rsidRPr="002D4835">
              <w:rPr>
                <w:b/>
                <w:spacing w:val="-10"/>
              </w:rPr>
              <w:t>Độc lập - Tự do - Hạnh phúc</w:t>
            </w:r>
          </w:p>
        </w:tc>
      </w:tr>
      <w:tr w:rsidR="00C84310" w:rsidRPr="002F4532" w:rsidTr="00DD733B">
        <w:tc>
          <w:tcPr>
            <w:tcW w:w="4158" w:type="dxa"/>
            <w:shd w:val="clear" w:color="auto" w:fill="auto"/>
          </w:tcPr>
          <w:p w:rsidR="00C84310" w:rsidRPr="003A4418" w:rsidRDefault="00C84310" w:rsidP="00DD733B">
            <w:pPr>
              <w:pStyle w:val="Heading5"/>
              <w:tabs>
                <w:tab w:val="center" w:pos="1680"/>
                <w:tab w:val="center" w:pos="6240"/>
              </w:tabs>
              <w:jc w:val="center"/>
              <w:rPr>
                <w:spacing w:val="-4"/>
                <w:sz w:val="26"/>
                <w:szCs w:val="28"/>
              </w:rPr>
            </w:pPr>
          </w:p>
        </w:tc>
        <w:tc>
          <w:tcPr>
            <w:tcW w:w="5670" w:type="dxa"/>
            <w:shd w:val="clear" w:color="auto" w:fill="auto"/>
          </w:tcPr>
          <w:p w:rsidR="00C84310" w:rsidRPr="002F4532" w:rsidRDefault="00C84310" w:rsidP="00D53F53">
            <w:pPr>
              <w:pStyle w:val="Heading5"/>
              <w:tabs>
                <w:tab w:val="center" w:pos="1680"/>
                <w:tab w:val="center" w:pos="6240"/>
              </w:tabs>
              <w:jc w:val="center"/>
              <w:rPr>
                <w:spacing w:val="-10"/>
                <w:sz w:val="26"/>
              </w:rPr>
            </w:pPr>
          </w:p>
        </w:tc>
      </w:tr>
    </w:tbl>
    <w:p w:rsidR="00212D3E" w:rsidRDefault="005B110A" w:rsidP="00620BF1">
      <w:pPr>
        <w:rPr>
          <w:b/>
          <w:szCs w:val="28"/>
        </w:rPr>
      </w:pPr>
      <w:r>
        <w:rPr>
          <w:b/>
          <w:szCs w:val="28"/>
        </w:rPr>
        <w:t xml:space="preserve">      </w:t>
      </w:r>
      <w:r w:rsidR="00620BF1">
        <w:rPr>
          <w:b/>
          <w:szCs w:val="28"/>
        </w:rPr>
        <w:t xml:space="preserve">                             </w:t>
      </w:r>
      <w:r w:rsidR="00576835" w:rsidRPr="0022213F">
        <w:rPr>
          <w:b/>
          <w:szCs w:val="28"/>
        </w:rPr>
        <w:t xml:space="preserve">THÔNG TIN THUỐC THÁNG </w:t>
      </w:r>
      <w:r w:rsidR="00DC3783">
        <w:rPr>
          <w:b/>
          <w:szCs w:val="28"/>
        </w:rPr>
        <w:t>1</w:t>
      </w:r>
      <w:r w:rsidR="001C5249">
        <w:rPr>
          <w:b/>
          <w:szCs w:val="28"/>
        </w:rPr>
        <w:t>2</w:t>
      </w:r>
      <w:r w:rsidR="004B36CA">
        <w:rPr>
          <w:b/>
          <w:szCs w:val="28"/>
        </w:rPr>
        <w:t>/202</w:t>
      </w:r>
      <w:r w:rsidR="00FB1AAB">
        <w:rPr>
          <w:b/>
          <w:szCs w:val="28"/>
        </w:rPr>
        <w:t>2</w:t>
      </w:r>
    </w:p>
    <w:p w:rsidR="00081A91" w:rsidRPr="00081A91" w:rsidRDefault="00081A91" w:rsidP="00081A91">
      <w:pPr>
        <w:spacing w:after="0" w:line="240" w:lineRule="auto"/>
        <w:rPr>
          <w:rFonts w:eastAsia="Times New Roman" w:cs="Times New Roman"/>
          <w:b/>
          <w:bCs/>
          <w:szCs w:val="28"/>
        </w:rPr>
      </w:pPr>
      <w:r w:rsidRPr="00081A91">
        <w:rPr>
          <w:rFonts w:eastAsia="Times New Roman" w:cs="Times New Roman"/>
          <w:b/>
          <w:bCs/>
          <w:szCs w:val="28"/>
        </w:rPr>
        <w:t>I.Nguy cơ hạ đường huyết đối với các thuốc điều trị đái tháo đường thế hệ mới</w:t>
      </w:r>
    </w:p>
    <w:p w:rsidR="00081A91" w:rsidRPr="00081A91" w:rsidRDefault="00081A91" w:rsidP="00081A91">
      <w:pPr>
        <w:spacing w:after="0" w:line="240" w:lineRule="auto"/>
        <w:rPr>
          <w:rFonts w:eastAsia="Times New Roman" w:cs="Times New Roman"/>
          <w:b/>
          <w:szCs w:val="28"/>
        </w:rPr>
      </w:pPr>
      <w:r w:rsidRPr="00081A91">
        <w:rPr>
          <w:rFonts w:eastAsia="Times New Roman" w:cs="Times New Roman"/>
          <w:b/>
          <w:szCs w:val="28"/>
        </w:rPr>
        <w:t> </w:t>
      </w:r>
      <w:r w:rsidRPr="00081A91">
        <w:rPr>
          <w:rFonts w:eastAsia="Times New Roman" w:cs="Times New Roman"/>
          <w:b/>
          <w:bCs/>
          <w:color w:val="414141"/>
          <w:szCs w:val="28"/>
        </w:rPr>
        <w:t>Thông tin chính</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Hạ đường huyết có khả năng xảy ra khi sử dụng các thuốc điều trị đái tháo đường thế hệ cũ như insulin và sulfunylurea.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Thuốc chủ vận thụ thể GLP-1 (peptid giống glucagon 1), thuốc ức chế SGLT-2 (đồng vận chuyển natri-glucose 2) hoặc thuốc ức chế DPP-4 (dipeptidyl peptidase 4) thường không gây hạ đường huyết khi sử dụng đơn trị liệu, mặc dù đã có một vài trường hợp được ghi nhận.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Nguy cơ hạ đường huyết tăng lên khi sử dụng đồng thời các thuốc chủ vận thụ thể GLP-1, thuốc ức chế SGLT-2 hoặc thuốc ức chế DPP-4 với insulin và/hoặc các sulfonylurea. Bệnh nhân được điều trị đồng thời các thuốc kể trên có thể cần sử dụnginsulin hoặc sulfonylurea liều thấp hơn để phòng ngừa các đợt hạ đường huyết.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Trung tâm Theo dõi Phản ứng có hại (CARM) ở New Zealand đã nhận được 2 báo cáo về trường hợp hạ đường huyết liên quan đến các thuốc điều trị đái tháo đường thế hệ mới (một báo cáo với vildagliptin và một báo cáo với empagliflozin). Nhân viên y tế cần theo dõi và thảo luận về nguy cơ hạ đường huyết khi kê đơn thuốc điều trị đái tháo đường typ 2 (T2DM).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w:t>
      </w:r>
      <w:r w:rsidRPr="00081A91">
        <w:rPr>
          <w:rFonts w:eastAsia="Times New Roman" w:cs="Times New Roman"/>
          <w:b/>
          <w:bCs/>
          <w:color w:val="414141"/>
          <w:szCs w:val="28"/>
        </w:rPr>
        <w:t>Thuốc điều trị đái tháo đường typ 2</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Điều trị đái tháo đường typ 2 bằng thuốc hạ đường huyết nhằm mục đích giảm mức HbA1c và giảm nguy cơ gặp biến chứng đái tháo đường. Có nhiều loại thuốc điều trị đái tháo đường typ 2 hiện hành và việc lựa chọn thuốc phụ thuộc vào tình trạng sức khoẻ tổng quát của bệnh nhân, các bệnh mắc kèm và nguy cơ liên quan đến hạ đường huyết. Cácloại thuốc điều trị đái tháo đường phổ biến bao gồm metformin, insulin và các sulfonylurea (ví dụ gliclazid, glipizid). Một số loại thuốc đái tháo đường thế hệ mới được phê duyệt bao gồm: empagliflozin thuộc nhóm thuốc ức chế SGLT-2, saxagliptin và vildagliptin thuộc nhóm thuốc ức chế DPP-4.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w:t>
      </w:r>
      <w:r w:rsidRPr="00081A91">
        <w:rPr>
          <w:rFonts w:eastAsia="Times New Roman" w:cs="Times New Roman"/>
          <w:b/>
          <w:bCs/>
          <w:color w:val="414141"/>
          <w:szCs w:val="28"/>
        </w:rPr>
        <w:t>Hạ đường huyết</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Hạ đường huyết ở bệnh nhân đái tháo đường được định nghĩa là tất cả các đợt giảm bất thường nồng độ glucose trong huyết tương (có hoặc không có triệu chứng) gây nguy hại cho bệnh nhân. Không có mức glucose cụ thể xác định tình trạng hạ đường huyết và ngưỡng đường huyết gây ra các triệu chứng là khác nhau ở mỗi người.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xml:space="preserve">Hạ đường huyết có liên quan đến sự tăng nguy cơ té ngã và suy giảm nhận thức và có thể làm tăng nguy cơ tử vong. Hạ đường huyết được biết đến với khả năng xảy ra khi dùng insulin hoặc các sulfonylurea. Các thuốc chủ vận thụ thể GLP-1, thuốc ức chế SGLT-2 và thuốc ức chế DPP-4 thường không điển hình gây hạ đường huyết khi sử </w:t>
      </w:r>
      <w:r w:rsidRPr="00081A91">
        <w:rPr>
          <w:rFonts w:eastAsia="Times New Roman" w:cs="Times New Roman"/>
          <w:color w:val="414141"/>
          <w:szCs w:val="28"/>
        </w:rPr>
        <w:lastRenderedPageBreak/>
        <w:t>dụng đơn độc, dù đã có một vài trường hợp được báo cáo. Nguy cơ hạ đường huyết tăng lên khi được sử dụng đồng thời với insulin và/hoặc thuốc nhóm sulfonylurea.</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w:t>
      </w:r>
      <w:r w:rsidRPr="00081A91">
        <w:rPr>
          <w:rFonts w:eastAsia="Times New Roman" w:cs="Times New Roman"/>
          <w:b/>
          <w:bCs/>
          <w:color w:val="414141"/>
          <w:szCs w:val="28"/>
        </w:rPr>
        <w:t>Cơ chế tác dụng</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Các thuốc chủ vận thụ thể GLP-1 và thuốc ức chế DPP-4 làm tăng nồng độ các hormon incretin (peptid giống glucagon 1 và polypeptid insulinotropic phụ thuộc glucose). Nồng độ các hormon này tăng làm tế bào beta tăng nhạy cảm với glucose, dẫn đến tăng tiết insulin phụ thuộc glucose, từ đó làm giảm lượng đường trong máu. Do có sự tăng cường nhạy cảm của tế bào beta với glucose, bệnh nhân dùng kèm insulin hoặc sulfonylurea có thể cần sử dụng insulin hoặc sulfonylurea với liều lượng thấp hơn để phòng ngừa cơn hạ đường huyết.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Hạ đường huyết là một phản ứng có hại rất phổ biến (tần suất ≥1/10) được ghi nhậntrong các thử nghiệm lâm sàng ở bệnh nhân dùng đồng thời thuốc ức chế SGLT-2 với insulin và các sulfonylurea. Thuốc ức chế SGLT-2 kích thích bài tiết glucose qua cơ chế giảm tái hấp thu từ thận vào máu. Bệnh nhân sử dụng đồng thời các thuốc kể trên có thể cần sử dụng insulin hoặc sulfonylurea liều lượng thấp hơn để phòng ngừa các đợt hạ đường huyết.</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w:t>
      </w:r>
      <w:r w:rsidRPr="00081A91">
        <w:rPr>
          <w:rFonts w:eastAsia="Times New Roman" w:cs="Times New Roman"/>
          <w:b/>
          <w:bCs/>
          <w:color w:val="414141"/>
          <w:szCs w:val="28"/>
        </w:rPr>
        <w:t>Báo cáo CARM</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Tính đến ngày 30/09/2022, CARM New Zealand đã nhận được 2 báo cáo về tình trạng hạ đường huyết liên quan đến thuốc điều trị đái tháo đường thế hệ mới: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Vildagliptin (ID CARM: 138371): bệnh nhân dùng insulin bị hạ đường huyết sau khi bắt đầu điều trị bằng vildagliptin. Báo cáo cho thấy bệnh nhân đã hồi phục sau khi giảm liều insulin.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Empagliflozin (ID CARM: 142383): bệnh nhân bị hạ đường huyết sau khi tăng liều empagliflozin. </w:t>
      </w:r>
    </w:p>
    <w:p w:rsidR="00081A91" w:rsidRDefault="00081A91" w:rsidP="00081A91">
      <w:pPr>
        <w:spacing w:after="0" w:line="240" w:lineRule="auto"/>
        <w:rPr>
          <w:rFonts w:eastAsia="Times New Roman" w:cs="Times New Roman"/>
          <w:b/>
          <w:bCs/>
          <w:szCs w:val="28"/>
        </w:rPr>
      </w:pPr>
      <w:r w:rsidRPr="00081A91">
        <w:rPr>
          <w:rFonts w:cs="Times New Roman"/>
          <w:b/>
          <w:szCs w:val="28"/>
        </w:rPr>
        <w:t>II.</w:t>
      </w:r>
      <w:r w:rsidRPr="00081A91">
        <w:rPr>
          <w:rFonts w:cs="Times New Roman"/>
          <w:b/>
          <w:bCs/>
          <w:szCs w:val="28"/>
        </w:rPr>
        <w:t xml:space="preserve"> </w:t>
      </w:r>
      <w:r w:rsidRPr="00081A91">
        <w:rPr>
          <w:rFonts w:eastAsia="Times New Roman" w:cs="Times New Roman"/>
          <w:b/>
          <w:bCs/>
          <w:szCs w:val="28"/>
        </w:rPr>
        <w:t>Medsafe: Sự giải phóng catecholamin quá mức của khối u tủy thượng thận và việc sử dụng các corticosteroid toàn thân</w:t>
      </w:r>
    </w:p>
    <w:p w:rsidR="00081A91" w:rsidRPr="00081A91" w:rsidRDefault="00081A91" w:rsidP="00081A91">
      <w:pPr>
        <w:spacing w:after="0" w:line="240" w:lineRule="auto"/>
        <w:rPr>
          <w:rFonts w:eastAsia="Times New Roman" w:cs="Times New Roman"/>
          <w:b/>
          <w:bCs/>
          <w:szCs w:val="28"/>
        </w:rPr>
      </w:pPr>
      <w:r w:rsidRPr="00081A91">
        <w:rPr>
          <w:rFonts w:eastAsia="Times New Roman" w:cs="Times New Roman"/>
          <w:b/>
          <w:bCs/>
          <w:color w:val="414141"/>
          <w:szCs w:val="28"/>
        </w:rPr>
        <w:t>Thông tin chính</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Sự giải phóng catecholamin quá mức của khối u tủy thượng thận (pheochromocytoma crisis) được ghi nhận sau khi sử dụng corticosteroid toàn thân cho bệnh nhân u tủy thượng thận.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U tủy thượng thận là những khối u ở tủy thượng thận - thường tiết ra một hoặc nhiều các catecholamin: epinephrin, norepinephrin và dopamin.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Sự giải phóng catecholamin quá mức từ khối u tủy thượng thận hiếm gặp nhưng có khả năng đe dọa tính mạng.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Bản tin này cung cấp thông tin về u tủy thượng thận và sự giải phóng catecholamin quá mức của khối u.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w:t>
      </w:r>
      <w:r w:rsidRPr="00081A91">
        <w:rPr>
          <w:rFonts w:eastAsia="Times New Roman" w:cs="Times New Roman"/>
          <w:b/>
          <w:bCs/>
          <w:color w:val="414141"/>
          <w:szCs w:val="28"/>
        </w:rPr>
        <w:t>U tủy thượng thận</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U tủy thượng thận là những khối u có nguồn gốc từ những tế bào ưa crom ở tủy thượng thận - thường tiết ra một hoặc nhiều các catecholamin như: epinephrin, norepinephrin and dopamin. U tủy thượng thận hiếm gặp, với tỷ lệ mới mắc hàng năm ước tính khoảng 0,8 trên 100.000 người-năm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lastRenderedPageBreak/>
        <w:t>U tủy thượng thận đặc trưng bởi các cơn tăng huyết áp kịch phát hoặc kéo dài kèm theo đau đầu từng cơn, nhịp tim nhanh và đổ mồ hôi do giải phóng quá mức các catecholamin. Để chẩn đoán cần bằng chứng cho thấy sự giải phóng catecholamin quá mức và thông tin về giải phẫu của khối u.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Nguyên tắc điều trị của bệnh u tủy thượng thận là sử dụngthuốc chẹn alpha và chẹn beta trước khi thực hiện phẫu thuật cắt bỏ khối u.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w:t>
      </w:r>
      <w:r w:rsidRPr="00081A91">
        <w:rPr>
          <w:rFonts w:eastAsia="Times New Roman" w:cs="Times New Roman"/>
          <w:b/>
          <w:bCs/>
          <w:color w:val="414141"/>
          <w:szCs w:val="28"/>
        </w:rPr>
        <w:t>Sự giải phóng catecholamin quá mức của khối u tủy thượng thận (PC)</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PC là trường hợp cấp cứu nội tiết hiếm gặp, trên bệnh nhân u tủy thượng thận do giải phóng quá mức các catecholamin. PC có tỉ lệ tử vong cao.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Triệu chứng lâm sàng của PC dao động từ tăng huyết áp nghiêm trọng đến suy tuần hoàn và sốc với sự tham gia của nhiều hệ thống cơ quan bao gồm: tim mạch, phổi, thần kinh, đường tiêu hóa, thận, gan và hệ thống trao đổi chất. Do đó, PC khó chẩn đoán nếu bệnh nhân chưa biết mình có bị u tủy thượng thận hay không vì nó có triệu chứng giống các bệnh khác có khả năng đe dọa tính mạng.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Các bước điều trị bao gồm đầu tiên là ổn định phản ứng cấp tính, sau đó sử dụng thuốc chẹn alpha trước khi phẫu thuật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PC có thể xuất hiện một cách tự phát hoặc bị kích thích do cắt bỏ khối u, chấn thương, dùng thuốc (corticosteroids, chẹn beta, metoclopramid, thuốc gây mê) hoặc căng thẳng bởi phẫu thuật ngoài tuyến thượng thận.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 </w:t>
      </w:r>
      <w:bookmarkStart w:id="0" w:name="_GoBack"/>
      <w:bookmarkEnd w:id="0"/>
      <w:r w:rsidRPr="00081A91">
        <w:rPr>
          <w:rFonts w:eastAsia="Times New Roman" w:cs="Times New Roman"/>
          <w:b/>
          <w:bCs/>
          <w:color w:val="414141"/>
          <w:szCs w:val="28"/>
        </w:rPr>
        <w:t>Sự giải phóng catecholamin quá mức của khối u tủy thượng thận do corticosteroid</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Mặc dù có một số giả thuyết, nhưng cơ chế corticosteroid tác dụng toàn thân kích hoạt PC đến nay vẫn chưa được xác nhận. Corticosteroid có thể làm tăng khả năng hoạt động của các catecholamin trên mạch máu ngoại vi và tim, gây nên các bệnh lý mạch máu, hoại tử mô và xuất huyết. Tăng bộc lộ các thụ thể corticosteroid có thể làm khối u nhạy cảm với corticosteroid, kích hoạt quá trình tổng hợp và giải phóng ra các catecholamin. </w:t>
      </w:r>
    </w:p>
    <w:p w:rsidR="00081A91" w:rsidRPr="00081A91" w:rsidRDefault="00081A91" w:rsidP="00081A91">
      <w:pPr>
        <w:spacing w:after="0" w:line="240" w:lineRule="auto"/>
        <w:jc w:val="both"/>
        <w:rPr>
          <w:rFonts w:eastAsia="Times New Roman" w:cs="Times New Roman"/>
          <w:color w:val="414141"/>
          <w:szCs w:val="28"/>
        </w:rPr>
      </w:pPr>
      <w:r w:rsidRPr="00081A91">
        <w:rPr>
          <w:rFonts w:eastAsia="Times New Roman" w:cs="Times New Roman"/>
          <w:color w:val="414141"/>
          <w:szCs w:val="28"/>
        </w:rPr>
        <w:t>Cân nhắc chẩn đoán phân biệt PC ở những bệnh nhân được điều trị bằng dexamethasone tác dụng toàn thân hoặc các sản phẩm corticosteroid khác với những người có triệu chứng nghiêm trọng như huyết động không ổn định, sốc, rối loạn nhịp tim, thiếu máu cục bộ cơ tim hoặc các triệu chứng khác liên quan đến hệ adrenergic. </w:t>
      </w:r>
    </w:p>
    <w:p w:rsidR="00C26C32" w:rsidRPr="00144444" w:rsidRDefault="00C26C32" w:rsidP="00081A91">
      <w:pPr>
        <w:spacing w:after="0" w:line="240" w:lineRule="auto"/>
        <w:ind w:firstLine="720"/>
        <w:jc w:val="both"/>
        <w:rPr>
          <w:rFonts w:cs="Times New Roman"/>
          <w:szCs w:val="28"/>
        </w:rPr>
      </w:pPr>
    </w:p>
    <w:p w:rsidR="00F96B1B" w:rsidRPr="00144444" w:rsidRDefault="0045414D" w:rsidP="00144444">
      <w:pPr>
        <w:rPr>
          <w:rFonts w:cs="Times New Roman"/>
          <w:b/>
          <w:szCs w:val="28"/>
        </w:rPr>
      </w:pPr>
      <w:r w:rsidRPr="00D04A59">
        <w:rPr>
          <w:i/>
          <w:szCs w:val="28"/>
        </w:rPr>
        <w:t>Nguồn: Cảnh giác Dược</w:t>
      </w:r>
      <w:r w:rsidR="00144444">
        <w:rPr>
          <w:rFonts w:cs="Times New Roman"/>
          <w:b/>
          <w:szCs w:val="28"/>
        </w:rPr>
        <w:t xml:space="preserve">                                       </w:t>
      </w:r>
      <w:r w:rsidR="004669AD" w:rsidRPr="004669AD">
        <w:rPr>
          <w:b/>
        </w:rPr>
        <w:t>TỔ THÔNG TIN THUỐC</w:t>
      </w:r>
    </w:p>
    <w:p w:rsidR="00F96B1B" w:rsidRDefault="00F96B1B" w:rsidP="003F2375">
      <w:pPr>
        <w:ind w:left="4320"/>
        <w:jc w:val="both"/>
      </w:pPr>
    </w:p>
    <w:p w:rsidR="002E04B5" w:rsidRDefault="00A854A9" w:rsidP="009F4750">
      <w:pPr>
        <w:ind w:left="5040" w:firstLine="720"/>
        <w:jc w:val="both"/>
      </w:pPr>
      <w:r>
        <w:t xml:space="preserve"> </w:t>
      </w:r>
    </w:p>
    <w:p w:rsidR="002E04B5" w:rsidRDefault="002E04B5" w:rsidP="002E04B5">
      <w:pPr>
        <w:jc w:val="both"/>
      </w:pPr>
    </w:p>
    <w:p w:rsidR="002E04B5" w:rsidRDefault="002E04B5" w:rsidP="002E04B5">
      <w:pPr>
        <w:jc w:val="both"/>
      </w:pPr>
      <w:r>
        <w:tab/>
      </w:r>
      <w:r>
        <w:tab/>
      </w:r>
      <w:r>
        <w:tab/>
      </w:r>
      <w:r>
        <w:tab/>
      </w:r>
      <w:r>
        <w:tab/>
      </w:r>
      <w:r>
        <w:tab/>
      </w:r>
      <w:r>
        <w:tab/>
      </w:r>
      <w:r>
        <w:tab/>
      </w:r>
    </w:p>
    <w:p w:rsidR="002E04B5" w:rsidRDefault="002E04B5" w:rsidP="0026081A">
      <w:pPr>
        <w:jc w:val="both"/>
      </w:pPr>
    </w:p>
    <w:sectPr w:rsidR="002E04B5" w:rsidSect="00FD33C5">
      <w:footerReference w:type="default" r:id="rId9"/>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ECF" w:rsidRDefault="00817ECF" w:rsidP="006511A5">
      <w:pPr>
        <w:spacing w:after="0" w:line="240" w:lineRule="auto"/>
      </w:pPr>
      <w:r>
        <w:separator/>
      </w:r>
    </w:p>
  </w:endnote>
  <w:endnote w:type="continuationSeparator" w:id="0">
    <w:p w:rsidR="00817ECF" w:rsidRDefault="00817ECF"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Symbo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348355"/>
      <w:docPartObj>
        <w:docPartGallery w:val="Page Numbers (Bottom of Page)"/>
        <w:docPartUnique/>
      </w:docPartObj>
    </w:sdtPr>
    <w:sdtEndPr>
      <w:rPr>
        <w:noProof/>
      </w:rPr>
    </w:sdtEndPr>
    <w:sdtContent>
      <w:p w:rsidR="00041565" w:rsidRDefault="00041565">
        <w:pPr>
          <w:pStyle w:val="Footer"/>
          <w:jc w:val="center"/>
        </w:pPr>
        <w:r>
          <w:fldChar w:fldCharType="begin"/>
        </w:r>
        <w:r>
          <w:instrText xml:space="preserve"> PAGE   \* MERGEFORMAT </w:instrText>
        </w:r>
        <w:r>
          <w:fldChar w:fldCharType="separate"/>
        </w:r>
        <w:r w:rsidR="00081A91">
          <w:rPr>
            <w:noProof/>
          </w:rPr>
          <w:t>4</w:t>
        </w:r>
        <w:r>
          <w:rPr>
            <w:noProof/>
          </w:rPr>
          <w:fldChar w:fldCharType="end"/>
        </w:r>
      </w:p>
    </w:sdtContent>
  </w:sdt>
  <w:p w:rsidR="00041565" w:rsidRDefault="000415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ECF" w:rsidRDefault="00817ECF" w:rsidP="006511A5">
      <w:pPr>
        <w:spacing w:after="0" w:line="240" w:lineRule="auto"/>
      </w:pPr>
      <w:r>
        <w:separator/>
      </w:r>
    </w:p>
  </w:footnote>
  <w:footnote w:type="continuationSeparator" w:id="0">
    <w:p w:rsidR="00817ECF" w:rsidRDefault="00817ECF"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6B9A"/>
    <w:multiLevelType w:val="hybridMultilevel"/>
    <w:tmpl w:val="AC1A11FA"/>
    <w:lvl w:ilvl="0" w:tplc="18DC2CD8">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nsid w:val="00C065F5"/>
    <w:multiLevelType w:val="hybridMultilevel"/>
    <w:tmpl w:val="93827620"/>
    <w:lvl w:ilvl="0" w:tplc="7CA8DF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87DBA"/>
    <w:multiLevelType w:val="hybridMultilevel"/>
    <w:tmpl w:val="A208B624"/>
    <w:lvl w:ilvl="0" w:tplc="84D69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4C7303"/>
    <w:multiLevelType w:val="hybridMultilevel"/>
    <w:tmpl w:val="70D40CC6"/>
    <w:lvl w:ilvl="0" w:tplc="B0BEDEEA">
      <w:start w:val="1"/>
      <w:numFmt w:val="upperRoman"/>
      <w:lvlText w:val="%1."/>
      <w:lvlJc w:val="left"/>
      <w:pPr>
        <w:ind w:left="1080" w:hanging="720"/>
      </w:pPr>
      <w:rPr>
        <w:rFonts w:ascii="Arial" w:eastAsia="Times New Roman" w:hAnsi="Arial" w:cs="Arial" w:hint="default"/>
        <w:b w:val="0"/>
        <w:color w:val="41414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3E1105"/>
    <w:multiLevelType w:val="multilevel"/>
    <w:tmpl w:val="3E7214B0"/>
    <w:lvl w:ilvl="0">
      <w:start w:val="1"/>
      <w:numFmt w:val="decimal"/>
      <w:lvlText w:val="%1.0"/>
      <w:lvlJc w:val="left"/>
      <w:pPr>
        <w:ind w:left="540" w:hanging="540"/>
      </w:pPr>
      <w:rPr>
        <w:rFonts w:hint="default"/>
      </w:rPr>
    </w:lvl>
    <w:lvl w:ilvl="1">
      <w:start w:val="1"/>
      <w:numFmt w:val="decimalZero"/>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852756"/>
    <w:multiLevelType w:val="hybridMultilevel"/>
    <w:tmpl w:val="E6D4D0F2"/>
    <w:lvl w:ilvl="0" w:tplc="BF90AB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E7979"/>
    <w:multiLevelType w:val="hybridMultilevel"/>
    <w:tmpl w:val="401CF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BE62AB"/>
    <w:multiLevelType w:val="hybridMultilevel"/>
    <w:tmpl w:val="D87828FC"/>
    <w:lvl w:ilvl="0" w:tplc="54B043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EF37C1"/>
    <w:multiLevelType w:val="hybridMultilevel"/>
    <w:tmpl w:val="8356F048"/>
    <w:lvl w:ilvl="0" w:tplc="2C4E11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7F542D"/>
    <w:multiLevelType w:val="hybridMultilevel"/>
    <w:tmpl w:val="2526ACA4"/>
    <w:lvl w:ilvl="0" w:tplc="95D8F590">
      <w:start w:val="1"/>
      <w:numFmt w:val="decimal"/>
      <w:lvlText w:val="%1."/>
      <w:lvlJc w:val="left"/>
      <w:pPr>
        <w:ind w:left="720" w:hanging="360"/>
      </w:pPr>
      <w:rPr>
        <w:rFonts w:eastAsia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E50C54"/>
    <w:multiLevelType w:val="hybridMultilevel"/>
    <w:tmpl w:val="CDD864DC"/>
    <w:lvl w:ilvl="0" w:tplc="5C3E36EE">
      <w:start w:val="2"/>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C4B461C"/>
    <w:multiLevelType w:val="hybridMultilevel"/>
    <w:tmpl w:val="6ED20CFE"/>
    <w:lvl w:ilvl="0" w:tplc="1366AA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F42F2C"/>
    <w:multiLevelType w:val="multilevel"/>
    <w:tmpl w:val="B148BFB8"/>
    <w:lvl w:ilvl="0">
      <w:start w:val="1"/>
      <w:numFmt w:val="decimal"/>
      <w:lvlText w:val="%1.0"/>
      <w:lvlJc w:val="left"/>
      <w:pPr>
        <w:ind w:left="720" w:hanging="720"/>
      </w:pPr>
      <w:rPr>
        <w:rFonts w:hint="default"/>
      </w:rPr>
    </w:lvl>
    <w:lvl w:ilvl="1">
      <w:start w:val="1"/>
      <w:numFmt w:val="decimalZero"/>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48E124E7"/>
    <w:multiLevelType w:val="hybridMultilevel"/>
    <w:tmpl w:val="DBA03440"/>
    <w:lvl w:ilvl="0" w:tplc="3BF234C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3E2372"/>
    <w:multiLevelType w:val="hybridMultilevel"/>
    <w:tmpl w:val="B43C0A54"/>
    <w:lvl w:ilvl="0" w:tplc="DAA0A5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393453"/>
    <w:multiLevelType w:val="hybridMultilevel"/>
    <w:tmpl w:val="7626F776"/>
    <w:lvl w:ilvl="0" w:tplc="2CF0499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E5083D"/>
    <w:multiLevelType w:val="multilevel"/>
    <w:tmpl w:val="7C0428A6"/>
    <w:lvl w:ilvl="0">
      <w:start w:val="1"/>
      <w:numFmt w:val="decimal"/>
      <w:lvlText w:val="%1.0"/>
      <w:lvlJc w:val="left"/>
      <w:pPr>
        <w:ind w:left="1080" w:hanging="540"/>
      </w:pPr>
      <w:rPr>
        <w:rFonts w:hint="default"/>
      </w:rPr>
    </w:lvl>
    <w:lvl w:ilvl="1">
      <w:start w:val="1"/>
      <w:numFmt w:val="decimalZero"/>
      <w:lvlText w:val="%1.%2"/>
      <w:lvlJc w:val="left"/>
      <w:pPr>
        <w:ind w:left="1800" w:hanging="54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020" w:hanging="1440"/>
      </w:pPr>
      <w:rPr>
        <w:rFonts w:hint="default"/>
      </w:rPr>
    </w:lvl>
    <w:lvl w:ilvl="8">
      <w:start w:val="1"/>
      <w:numFmt w:val="decimal"/>
      <w:lvlText w:val="%1.%2.%3.%4.%5.%6.%7.%8.%9"/>
      <w:lvlJc w:val="left"/>
      <w:pPr>
        <w:ind w:left="7740" w:hanging="1440"/>
      </w:pPr>
      <w:rPr>
        <w:rFonts w:hint="default"/>
      </w:rPr>
    </w:lvl>
  </w:abstractNum>
  <w:abstractNum w:abstractNumId="19">
    <w:nsid w:val="582831B7"/>
    <w:multiLevelType w:val="hybridMultilevel"/>
    <w:tmpl w:val="41002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F31AC7"/>
    <w:multiLevelType w:val="hybridMultilevel"/>
    <w:tmpl w:val="E320DD0C"/>
    <w:lvl w:ilvl="0" w:tplc="0CA8D7AE">
      <w:start w:val="1"/>
      <w:numFmt w:val="upperRoman"/>
      <w:lvlText w:val="%1."/>
      <w:lvlJc w:val="left"/>
      <w:pPr>
        <w:ind w:left="1080" w:hanging="720"/>
      </w:pPr>
      <w:rPr>
        <w:rFonts w:eastAsia="Times New Roman" w:cs="Times New Roman"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883E46"/>
    <w:multiLevelType w:val="hybridMultilevel"/>
    <w:tmpl w:val="F644518E"/>
    <w:lvl w:ilvl="0" w:tplc="C742B78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347C72"/>
    <w:multiLevelType w:val="hybridMultilevel"/>
    <w:tmpl w:val="2ABA983A"/>
    <w:lvl w:ilvl="0" w:tplc="4EA45136">
      <w:start w:val="1"/>
      <w:numFmt w:val="decimal"/>
      <w:lvlText w:val="%1."/>
      <w:lvlJc w:val="left"/>
      <w:pPr>
        <w:ind w:left="720" w:hanging="360"/>
      </w:pPr>
      <w:rPr>
        <w:rFonts w:eastAsia="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817CC0"/>
    <w:multiLevelType w:val="hybridMultilevel"/>
    <w:tmpl w:val="17241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E43B18"/>
    <w:multiLevelType w:val="hybridMultilevel"/>
    <w:tmpl w:val="D42E7316"/>
    <w:lvl w:ilvl="0" w:tplc="A4EC7304">
      <w:start w:val="1"/>
      <w:numFmt w:val="upperRoman"/>
      <w:lvlText w:val="%1."/>
      <w:lvlJc w:val="left"/>
      <w:pPr>
        <w:ind w:left="1080" w:hanging="72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C66E2F"/>
    <w:multiLevelType w:val="multilevel"/>
    <w:tmpl w:val="C13A70B2"/>
    <w:lvl w:ilvl="0">
      <w:start w:val="1"/>
      <w:numFmt w:val="decimal"/>
      <w:lvlText w:val="%1.0"/>
      <w:lvlJc w:val="left"/>
      <w:pPr>
        <w:ind w:left="585" w:hanging="585"/>
      </w:pPr>
      <w:rPr>
        <w:rFonts w:hint="default"/>
      </w:rPr>
    </w:lvl>
    <w:lvl w:ilvl="1">
      <w:start w:val="1"/>
      <w:numFmt w:val="decimalZero"/>
      <w:lvlText w:val="%1.%2"/>
      <w:lvlJc w:val="left"/>
      <w:pPr>
        <w:ind w:left="1305" w:hanging="58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nsid w:val="7C7574EE"/>
    <w:multiLevelType w:val="multilevel"/>
    <w:tmpl w:val="65224474"/>
    <w:lvl w:ilvl="0">
      <w:start w:val="1"/>
      <w:numFmt w:val="decimal"/>
      <w:lvlText w:val="%1.0"/>
      <w:lvlJc w:val="left"/>
      <w:pPr>
        <w:ind w:left="720" w:hanging="720"/>
      </w:pPr>
      <w:rPr>
        <w:rFonts w:hint="default"/>
      </w:rPr>
    </w:lvl>
    <w:lvl w:ilvl="1">
      <w:start w:val="1"/>
      <w:numFmt w:val="decimalZero"/>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1">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23"/>
  </w:num>
  <w:num w:numId="4">
    <w:abstractNumId w:val="21"/>
  </w:num>
  <w:num w:numId="5">
    <w:abstractNumId w:val="27"/>
  </w:num>
  <w:num w:numId="6">
    <w:abstractNumId w:val="31"/>
  </w:num>
  <w:num w:numId="7">
    <w:abstractNumId w:val="12"/>
  </w:num>
  <w:num w:numId="8">
    <w:abstractNumId w:val="24"/>
  </w:num>
  <w:num w:numId="9">
    <w:abstractNumId w:val="11"/>
  </w:num>
  <w:num w:numId="10">
    <w:abstractNumId w:val="7"/>
  </w:num>
  <w:num w:numId="11">
    <w:abstractNumId w:val="10"/>
  </w:num>
  <w:num w:numId="12">
    <w:abstractNumId w:val="19"/>
  </w:num>
  <w:num w:numId="13">
    <w:abstractNumId w:val="25"/>
  </w:num>
  <w:num w:numId="14">
    <w:abstractNumId w:val="3"/>
  </w:num>
  <w:num w:numId="15">
    <w:abstractNumId w:val="13"/>
  </w:num>
  <w:num w:numId="16">
    <w:abstractNumId w:val="15"/>
  </w:num>
  <w:num w:numId="17">
    <w:abstractNumId w:val="29"/>
  </w:num>
  <w:num w:numId="18">
    <w:abstractNumId w:val="4"/>
  </w:num>
  <w:num w:numId="19">
    <w:abstractNumId w:val="18"/>
  </w:num>
  <w:num w:numId="20">
    <w:abstractNumId w:val="22"/>
  </w:num>
  <w:num w:numId="21">
    <w:abstractNumId w:val="8"/>
  </w:num>
  <w:num w:numId="22">
    <w:abstractNumId w:val="0"/>
  </w:num>
  <w:num w:numId="23">
    <w:abstractNumId w:val="17"/>
  </w:num>
  <w:num w:numId="24">
    <w:abstractNumId w:val="16"/>
  </w:num>
  <w:num w:numId="25">
    <w:abstractNumId w:val="1"/>
  </w:num>
  <w:num w:numId="26">
    <w:abstractNumId w:val="14"/>
  </w:num>
  <w:num w:numId="27">
    <w:abstractNumId w:val="30"/>
  </w:num>
  <w:num w:numId="28">
    <w:abstractNumId w:val="20"/>
  </w:num>
  <w:num w:numId="29">
    <w:abstractNumId w:val="9"/>
  </w:num>
  <w:num w:numId="30">
    <w:abstractNumId w:val="2"/>
  </w:num>
  <w:num w:numId="31">
    <w:abstractNumId w:val="28"/>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835"/>
    <w:rsid w:val="000069FA"/>
    <w:rsid w:val="00021827"/>
    <w:rsid w:val="00023125"/>
    <w:rsid w:val="00032AA0"/>
    <w:rsid w:val="00041565"/>
    <w:rsid w:val="000462D0"/>
    <w:rsid w:val="00056FE1"/>
    <w:rsid w:val="00081A91"/>
    <w:rsid w:val="0008656E"/>
    <w:rsid w:val="000D13F4"/>
    <w:rsid w:val="000E41E5"/>
    <w:rsid w:val="000F45EA"/>
    <w:rsid w:val="00112AFA"/>
    <w:rsid w:val="00144444"/>
    <w:rsid w:val="001470C5"/>
    <w:rsid w:val="00165052"/>
    <w:rsid w:val="001866B3"/>
    <w:rsid w:val="001919E4"/>
    <w:rsid w:val="001B5A9F"/>
    <w:rsid w:val="001C5249"/>
    <w:rsid w:val="001D76EA"/>
    <w:rsid w:val="001E12CB"/>
    <w:rsid w:val="001E27E5"/>
    <w:rsid w:val="001E4B43"/>
    <w:rsid w:val="00212D3E"/>
    <w:rsid w:val="0022213F"/>
    <w:rsid w:val="00236062"/>
    <w:rsid w:val="0026081A"/>
    <w:rsid w:val="002A47FA"/>
    <w:rsid w:val="002C05D5"/>
    <w:rsid w:val="002C3E9C"/>
    <w:rsid w:val="002D1820"/>
    <w:rsid w:val="002E04B5"/>
    <w:rsid w:val="003071DA"/>
    <w:rsid w:val="00314D86"/>
    <w:rsid w:val="00322088"/>
    <w:rsid w:val="003304CC"/>
    <w:rsid w:val="0033483E"/>
    <w:rsid w:val="003700AF"/>
    <w:rsid w:val="00370C88"/>
    <w:rsid w:val="00373B0B"/>
    <w:rsid w:val="00397EDA"/>
    <w:rsid w:val="003A150B"/>
    <w:rsid w:val="003A3F2B"/>
    <w:rsid w:val="003B7240"/>
    <w:rsid w:val="003C0C8A"/>
    <w:rsid w:val="003C1394"/>
    <w:rsid w:val="003D752D"/>
    <w:rsid w:val="003F2375"/>
    <w:rsid w:val="003F3520"/>
    <w:rsid w:val="00410FA1"/>
    <w:rsid w:val="004137F2"/>
    <w:rsid w:val="0042087F"/>
    <w:rsid w:val="0045414D"/>
    <w:rsid w:val="00454F78"/>
    <w:rsid w:val="00463CE8"/>
    <w:rsid w:val="004669AD"/>
    <w:rsid w:val="004B36CA"/>
    <w:rsid w:val="004B4D25"/>
    <w:rsid w:val="004B5F77"/>
    <w:rsid w:val="004D7995"/>
    <w:rsid w:val="004E59B8"/>
    <w:rsid w:val="004F4AE2"/>
    <w:rsid w:val="004F7696"/>
    <w:rsid w:val="00506236"/>
    <w:rsid w:val="00512D55"/>
    <w:rsid w:val="005149DC"/>
    <w:rsid w:val="005264E3"/>
    <w:rsid w:val="00532DB0"/>
    <w:rsid w:val="0053743B"/>
    <w:rsid w:val="00545456"/>
    <w:rsid w:val="00565F4C"/>
    <w:rsid w:val="00576835"/>
    <w:rsid w:val="00595AAF"/>
    <w:rsid w:val="005A2D9B"/>
    <w:rsid w:val="005A787A"/>
    <w:rsid w:val="005B031B"/>
    <w:rsid w:val="005B110A"/>
    <w:rsid w:val="005E7E90"/>
    <w:rsid w:val="005F7261"/>
    <w:rsid w:val="005F74B0"/>
    <w:rsid w:val="0060425F"/>
    <w:rsid w:val="00620BF1"/>
    <w:rsid w:val="00624B07"/>
    <w:rsid w:val="006511A5"/>
    <w:rsid w:val="00692041"/>
    <w:rsid w:val="006B34C0"/>
    <w:rsid w:val="00712F5E"/>
    <w:rsid w:val="00716027"/>
    <w:rsid w:val="00725C79"/>
    <w:rsid w:val="0073154B"/>
    <w:rsid w:val="007401DF"/>
    <w:rsid w:val="00751074"/>
    <w:rsid w:val="00753CCF"/>
    <w:rsid w:val="007570BC"/>
    <w:rsid w:val="00771098"/>
    <w:rsid w:val="00780B56"/>
    <w:rsid w:val="007A1C65"/>
    <w:rsid w:val="007C0FC7"/>
    <w:rsid w:val="007C70CF"/>
    <w:rsid w:val="007E7517"/>
    <w:rsid w:val="007F79CA"/>
    <w:rsid w:val="00817ECF"/>
    <w:rsid w:val="008204E4"/>
    <w:rsid w:val="0085508A"/>
    <w:rsid w:val="008638AE"/>
    <w:rsid w:val="008901A4"/>
    <w:rsid w:val="008A38B4"/>
    <w:rsid w:val="008E0A7F"/>
    <w:rsid w:val="008E49B3"/>
    <w:rsid w:val="008F7F68"/>
    <w:rsid w:val="00923156"/>
    <w:rsid w:val="00955A07"/>
    <w:rsid w:val="00966DE6"/>
    <w:rsid w:val="0098634B"/>
    <w:rsid w:val="009A5D28"/>
    <w:rsid w:val="009B0BA7"/>
    <w:rsid w:val="009C60A6"/>
    <w:rsid w:val="009F4750"/>
    <w:rsid w:val="009F7F5B"/>
    <w:rsid w:val="00A020B0"/>
    <w:rsid w:val="00A25735"/>
    <w:rsid w:val="00A35DDE"/>
    <w:rsid w:val="00A453CF"/>
    <w:rsid w:val="00A45A7D"/>
    <w:rsid w:val="00A854A9"/>
    <w:rsid w:val="00A9110C"/>
    <w:rsid w:val="00AA2B66"/>
    <w:rsid w:val="00AB63E8"/>
    <w:rsid w:val="00AE098A"/>
    <w:rsid w:val="00AE5617"/>
    <w:rsid w:val="00AE5A26"/>
    <w:rsid w:val="00B02B52"/>
    <w:rsid w:val="00B54589"/>
    <w:rsid w:val="00BA315B"/>
    <w:rsid w:val="00BB74D6"/>
    <w:rsid w:val="00BC46E9"/>
    <w:rsid w:val="00BD41A7"/>
    <w:rsid w:val="00C01CE0"/>
    <w:rsid w:val="00C1075B"/>
    <w:rsid w:val="00C24AFC"/>
    <w:rsid w:val="00C26C32"/>
    <w:rsid w:val="00C272B8"/>
    <w:rsid w:val="00C27A80"/>
    <w:rsid w:val="00C416D7"/>
    <w:rsid w:val="00C45CA7"/>
    <w:rsid w:val="00C46A2B"/>
    <w:rsid w:val="00C521CA"/>
    <w:rsid w:val="00C52559"/>
    <w:rsid w:val="00C84310"/>
    <w:rsid w:val="00CA5332"/>
    <w:rsid w:val="00CB336D"/>
    <w:rsid w:val="00CE15A1"/>
    <w:rsid w:val="00D038E6"/>
    <w:rsid w:val="00D04A59"/>
    <w:rsid w:val="00D11A00"/>
    <w:rsid w:val="00D53F53"/>
    <w:rsid w:val="00D76BE6"/>
    <w:rsid w:val="00D9375A"/>
    <w:rsid w:val="00D95746"/>
    <w:rsid w:val="00DB19EF"/>
    <w:rsid w:val="00DC3783"/>
    <w:rsid w:val="00DD36C1"/>
    <w:rsid w:val="00DD5614"/>
    <w:rsid w:val="00DD733B"/>
    <w:rsid w:val="00DE1F0A"/>
    <w:rsid w:val="00DF4F61"/>
    <w:rsid w:val="00E32C92"/>
    <w:rsid w:val="00EA3A24"/>
    <w:rsid w:val="00EB3D1A"/>
    <w:rsid w:val="00EC1682"/>
    <w:rsid w:val="00ED0EEE"/>
    <w:rsid w:val="00F152B4"/>
    <w:rsid w:val="00F168F1"/>
    <w:rsid w:val="00F17C57"/>
    <w:rsid w:val="00F25424"/>
    <w:rsid w:val="00F2712A"/>
    <w:rsid w:val="00F33A3C"/>
    <w:rsid w:val="00F57CE8"/>
    <w:rsid w:val="00F65C51"/>
    <w:rsid w:val="00F73725"/>
    <w:rsid w:val="00F847F7"/>
    <w:rsid w:val="00F95857"/>
    <w:rsid w:val="00F96B1B"/>
    <w:rsid w:val="00FB1AAB"/>
    <w:rsid w:val="00FB7921"/>
    <w:rsid w:val="00FD08B1"/>
    <w:rsid w:val="00FD33C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paragraph" w:customStyle="1" w:styleId="Default">
    <w:name w:val="Default"/>
    <w:rsid w:val="007F79CA"/>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 w:type="character" w:customStyle="1" w:styleId="fontstyle01">
    <w:name w:val="fontstyle01"/>
    <w:basedOn w:val="DefaultParagraphFont"/>
    <w:rsid w:val="00F33A3C"/>
    <w:rPr>
      <w:rFonts w:ascii="Tahoma" w:hAnsi="Tahoma" w:cs="Tahoma" w:hint="default"/>
      <w:b w:val="0"/>
      <w:bCs w:val="0"/>
      <w:i w:val="0"/>
      <w:iCs w:val="0"/>
      <w:color w:val="4D0000"/>
      <w:sz w:val="22"/>
      <w:szCs w:val="22"/>
    </w:rPr>
  </w:style>
  <w:style w:type="character" w:customStyle="1" w:styleId="fontstyle21">
    <w:name w:val="fontstyle21"/>
    <w:basedOn w:val="DefaultParagraphFont"/>
    <w:rsid w:val="00F33A3C"/>
    <w:rPr>
      <w:rFonts w:ascii="SymbolMT" w:hAnsi="SymbolMT" w:hint="default"/>
      <w:b w:val="0"/>
      <w:bCs w:val="0"/>
      <w:i w:val="0"/>
      <w:iCs w:val="0"/>
      <w:color w:val="4D0000"/>
      <w:sz w:val="22"/>
      <w:szCs w:val="22"/>
    </w:rPr>
  </w:style>
  <w:style w:type="paragraph" w:customStyle="1" w:styleId="Default">
    <w:name w:val="Default"/>
    <w:rsid w:val="007F79CA"/>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05386">
      <w:bodyDiv w:val="1"/>
      <w:marLeft w:val="0"/>
      <w:marRight w:val="0"/>
      <w:marTop w:val="0"/>
      <w:marBottom w:val="0"/>
      <w:divBdr>
        <w:top w:val="none" w:sz="0" w:space="0" w:color="auto"/>
        <w:left w:val="none" w:sz="0" w:space="0" w:color="auto"/>
        <w:bottom w:val="none" w:sz="0" w:space="0" w:color="auto"/>
        <w:right w:val="none" w:sz="0" w:space="0" w:color="auto"/>
      </w:divBdr>
      <w:divsChild>
        <w:div w:id="875234154">
          <w:marLeft w:val="0"/>
          <w:marRight w:val="0"/>
          <w:marTop w:val="0"/>
          <w:marBottom w:val="0"/>
          <w:divBdr>
            <w:top w:val="none" w:sz="0" w:space="0" w:color="auto"/>
            <w:left w:val="none" w:sz="0" w:space="0" w:color="auto"/>
            <w:bottom w:val="none" w:sz="0" w:space="0" w:color="auto"/>
            <w:right w:val="none" w:sz="0" w:space="0" w:color="auto"/>
          </w:divBdr>
        </w:div>
        <w:div w:id="1990865260">
          <w:marLeft w:val="0"/>
          <w:marRight w:val="0"/>
          <w:marTop w:val="0"/>
          <w:marBottom w:val="0"/>
          <w:divBdr>
            <w:top w:val="none" w:sz="0" w:space="0" w:color="auto"/>
            <w:left w:val="none" w:sz="0" w:space="0" w:color="auto"/>
            <w:bottom w:val="none" w:sz="0" w:space="0" w:color="auto"/>
            <w:right w:val="none" w:sz="0" w:space="0" w:color="auto"/>
          </w:divBdr>
        </w:div>
      </w:divsChild>
    </w:div>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158813314">
      <w:bodyDiv w:val="1"/>
      <w:marLeft w:val="0"/>
      <w:marRight w:val="0"/>
      <w:marTop w:val="0"/>
      <w:marBottom w:val="0"/>
      <w:divBdr>
        <w:top w:val="none" w:sz="0" w:space="0" w:color="auto"/>
        <w:left w:val="none" w:sz="0" w:space="0" w:color="auto"/>
        <w:bottom w:val="none" w:sz="0" w:space="0" w:color="auto"/>
        <w:right w:val="none" w:sz="0" w:space="0" w:color="auto"/>
      </w:divBdr>
      <w:divsChild>
        <w:div w:id="339629142">
          <w:marLeft w:val="0"/>
          <w:marRight w:val="0"/>
          <w:marTop w:val="0"/>
          <w:marBottom w:val="0"/>
          <w:divBdr>
            <w:top w:val="none" w:sz="0" w:space="0" w:color="auto"/>
            <w:left w:val="none" w:sz="0" w:space="0" w:color="auto"/>
            <w:bottom w:val="none" w:sz="0" w:space="0" w:color="auto"/>
            <w:right w:val="none" w:sz="0" w:space="0" w:color="auto"/>
          </w:divBdr>
        </w:div>
        <w:div w:id="129399667">
          <w:marLeft w:val="0"/>
          <w:marRight w:val="0"/>
          <w:marTop w:val="0"/>
          <w:marBottom w:val="0"/>
          <w:divBdr>
            <w:top w:val="none" w:sz="0" w:space="0" w:color="auto"/>
            <w:left w:val="none" w:sz="0" w:space="0" w:color="auto"/>
            <w:bottom w:val="none" w:sz="0" w:space="0" w:color="auto"/>
            <w:right w:val="none" w:sz="0" w:space="0" w:color="auto"/>
          </w:divBdr>
        </w:div>
      </w:divsChild>
    </w:div>
    <w:div w:id="177231314">
      <w:bodyDiv w:val="1"/>
      <w:marLeft w:val="0"/>
      <w:marRight w:val="0"/>
      <w:marTop w:val="0"/>
      <w:marBottom w:val="0"/>
      <w:divBdr>
        <w:top w:val="none" w:sz="0" w:space="0" w:color="auto"/>
        <w:left w:val="none" w:sz="0" w:space="0" w:color="auto"/>
        <w:bottom w:val="none" w:sz="0" w:space="0" w:color="auto"/>
        <w:right w:val="none" w:sz="0" w:space="0" w:color="auto"/>
      </w:divBdr>
      <w:divsChild>
        <w:div w:id="1230730611">
          <w:marLeft w:val="0"/>
          <w:marRight w:val="0"/>
          <w:marTop w:val="0"/>
          <w:marBottom w:val="0"/>
          <w:divBdr>
            <w:top w:val="none" w:sz="0" w:space="0" w:color="auto"/>
            <w:left w:val="none" w:sz="0" w:space="0" w:color="auto"/>
            <w:bottom w:val="none" w:sz="0" w:space="0" w:color="auto"/>
            <w:right w:val="none" w:sz="0" w:space="0" w:color="auto"/>
          </w:divBdr>
        </w:div>
        <w:div w:id="1469349767">
          <w:marLeft w:val="0"/>
          <w:marRight w:val="0"/>
          <w:marTop w:val="0"/>
          <w:marBottom w:val="0"/>
          <w:divBdr>
            <w:top w:val="none" w:sz="0" w:space="0" w:color="auto"/>
            <w:left w:val="none" w:sz="0" w:space="0" w:color="auto"/>
            <w:bottom w:val="none" w:sz="0" w:space="0" w:color="auto"/>
            <w:right w:val="none" w:sz="0" w:space="0" w:color="auto"/>
          </w:divBdr>
        </w:div>
      </w:divsChild>
    </w:div>
    <w:div w:id="262540701">
      <w:bodyDiv w:val="1"/>
      <w:marLeft w:val="0"/>
      <w:marRight w:val="0"/>
      <w:marTop w:val="0"/>
      <w:marBottom w:val="0"/>
      <w:divBdr>
        <w:top w:val="none" w:sz="0" w:space="0" w:color="auto"/>
        <w:left w:val="none" w:sz="0" w:space="0" w:color="auto"/>
        <w:bottom w:val="none" w:sz="0" w:space="0" w:color="auto"/>
        <w:right w:val="none" w:sz="0" w:space="0" w:color="auto"/>
      </w:divBdr>
      <w:divsChild>
        <w:div w:id="373044626">
          <w:marLeft w:val="0"/>
          <w:marRight w:val="0"/>
          <w:marTop w:val="0"/>
          <w:marBottom w:val="0"/>
          <w:divBdr>
            <w:top w:val="none" w:sz="0" w:space="0" w:color="auto"/>
            <w:left w:val="none" w:sz="0" w:space="0" w:color="auto"/>
            <w:bottom w:val="none" w:sz="0" w:space="0" w:color="auto"/>
            <w:right w:val="none" w:sz="0" w:space="0" w:color="auto"/>
          </w:divBdr>
        </w:div>
        <w:div w:id="915433560">
          <w:marLeft w:val="0"/>
          <w:marRight w:val="0"/>
          <w:marTop w:val="0"/>
          <w:marBottom w:val="0"/>
          <w:divBdr>
            <w:top w:val="none" w:sz="0" w:space="0" w:color="auto"/>
            <w:left w:val="none" w:sz="0" w:space="0" w:color="auto"/>
            <w:bottom w:val="none" w:sz="0" w:space="0" w:color="auto"/>
            <w:right w:val="none" w:sz="0" w:space="0" w:color="auto"/>
          </w:divBdr>
        </w:div>
      </w:divsChild>
    </w:div>
    <w:div w:id="304509592">
      <w:bodyDiv w:val="1"/>
      <w:marLeft w:val="0"/>
      <w:marRight w:val="0"/>
      <w:marTop w:val="0"/>
      <w:marBottom w:val="0"/>
      <w:divBdr>
        <w:top w:val="none" w:sz="0" w:space="0" w:color="auto"/>
        <w:left w:val="none" w:sz="0" w:space="0" w:color="auto"/>
        <w:bottom w:val="none" w:sz="0" w:space="0" w:color="auto"/>
        <w:right w:val="none" w:sz="0" w:space="0" w:color="auto"/>
      </w:divBdr>
      <w:divsChild>
        <w:div w:id="533467160">
          <w:marLeft w:val="0"/>
          <w:marRight w:val="0"/>
          <w:marTop w:val="0"/>
          <w:marBottom w:val="0"/>
          <w:divBdr>
            <w:top w:val="none" w:sz="0" w:space="0" w:color="auto"/>
            <w:left w:val="none" w:sz="0" w:space="0" w:color="auto"/>
            <w:bottom w:val="none" w:sz="0" w:space="0" w:color="auto"/>
            <w:right w:val="none" w:sz="0" w:space="0" w:color="auto"/>
          </w:divBdr>
        </w:div>
        <w:div w:id="2102293342">
          <w:marLeft w:val="0"/>
          <w:marRight w:val="0"/>
          <w:marTop w:val="0"/>
          <w:marBottom w:val="0"/>
          <w:divBdr>
            <w:top w:val="none" w:sz="0" w:space="0" w:color="auto"/>
            <w:left w:val="none" w:sz="0" w:space="0" w:color="auto"/>
            <w:bottom w:val="none" w:sz="0" w:space="0" w:color="auto"/>
            <w:right w:val="none" w:sz="0" w:space="0" w:color="auto"/>
          </w:divBdr>
        </w:div>
      </w:divsChild>
    </w:div>
    <w:div w:id="313417992">
      <w:bodyDiv w:val="1"/>
      <w:marLeft w:val="0"/>
      <w:marRight w:val="0"/>
      <w:marTop w:val="0"/>
      <w:marBottom w:val="0"/>
      <w:divBdr>
        <w:top w:val="none" w:sz="0" w:space="0" w:color="auto"/>
        <w:left w:val="none" w:sz="0" w:space="0" w:color="auto"/>
        <w:bottom w:val="none" w:sz="0" w:space="0" w:color="auto"/>
        <w:right w:val="none" w:sz="0" w:space="0" w:color="auto"/>
      </w:divBdr>
      <w:divsChild>
        <w:div w:id="58217657">
          <w:marLeft w:val="0"/>
          <w:marRight w:val="0"/>
          <w:marTop w:val="0"/>
          <w:marBottom w:val="0"/>
          <w:divBdr>
            <w:top w:val="none" w:sz="0" w:space="0" w:color="auto"/>
            <w:left w:val="none" w:sz="0" w:space="0" w:color="auto"/>
            <w:bottom w:val="none" w:sz="0" w:space="0" w:color="auto"/>
            <w:right w:val="none" w:sz="0" w:space="0" w:color="auto"/>
          </w:divBdr>
        </w:div>
        <w:div w:id="1683892751">
          <w:marLeft w:val="0"/>
          <w:marRight w:val="0"/>
          <w:marTop w:val="0"/>
          <w:marBottom w:val="0"/>
          <w:divBdr>
            <w:top w:val="none" w:sz="0" w:space="0" w:color="auto"/>
            <w:left w:val="none" w:sz="0" w:space="0" w:color="auto"/>
            <w:bottom w:val="none" w:sz="0" w:space="0" w:color="auto"/>
            <w:right w:val="none" w:sz="0" w:space="0" w:color="auto"/>
          </w:divBdr>
        </w:div>
      </w:divsChild>
    </w:div>
    <w:div w:id="338510838">
      <w:bodyDiv w:val="1"/>
      <w:marLeft w:val="0"/>
      <w:marRight w:val="0"/>
      <w:marTop w:val="0"/>
      <w:marBottom w:val="0"/>
      <w:divBdr>
        <w:top w:val="none" w:sz="0" w:space="0" w:color="auto"/>
        <w:left w:val="none" w:sz="0" w:space="0" w:color="auto"/>
        <w:bottom w:val="none" w:sz="0" w:space="0" w:color="auto"/>
        <w:right w:val="none" w:sz="0" w:space="0" w:color="auto"/>
      </w:divBdr>
      <w:divsChild>
        <w:div w:id="2080396600">
          <w:marLeft w:val="0"/>
          <w:marRight w:val="0"/>
          <w:marTop w:val="0"/>
          <w:marBottom w:val="0"/>
          <w:divBdr>
            <w:top w:val="none" w:sz="0" w:space="0" w:color="auto"/>
            <w:left w:val="none" w:sz="0" w:space="0" w:color="auto"/>
            <w:bottom w:val="none" w:sz="0" w:space="0" w:color="auto"/>
            <w:right w:val="none" w:sz="0" w:space="0" w:color="auto"/>
          </w:divBdr>
        </w:div>
        <w:div w:id="1917473134">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363747563">
      <w:bodyDiv w:val="1"/>
      <w:marLeft w:val="0"/>
      <w:marRight w:val="0"/>
      <w:marTop w:val="0"/>
      <w:marBottom w:val="0"/>
      <w:divBdr>
        <w:top w:val="none" w:sz="0" w:space="0" w:color="auto"/>
        <w:left w:val="none" w:sz="0" w:space="0" w:color="auto"/>
        <w:bottom w:val="none" w:sz="0" w:space="0" w:color="auto"/>
        <w:right w:val="none" w:sz="0" w:space="0" w:color="auto"/>
      </w:divBdr>
      <w:divsChild>
        <w:div w:id="134835996">
          <w:marLeft w:val="0"/>
          <w:marRight w:val="0"/>
          <w:marTop w:val="0"/>
          <w:marBottom w:val="0"/>
          <w:divBdr>
            <w:top w:val="none" w:sz="0" w:space="0" w:color="auto"/>
            <w:left w:val="none" w:sz="0" w:space="0" w:color="auto"/>
            <w:bottom w:val="none" w:sz="0" w:space="0" w:color="auto"/>
            <w:right w:val="none" w:sz="0" w:space="0" w:color="auto"/>
          </w:divBdr>
        </w:div>
        <w:div w:id="566764567">
          <w:marLeft w:val="0"/>
          <w:marRight w:val="0"/>
          <w:marTop w:val="0"/>
          <w:marBottom w:val="0"/>
          <w:divBdr>
            <w:top w:val="none" w:sz="0" w:space="0" w:color="auto"/>
            <w:left w:val="none" w:sz="0" w:space="0" w:color="auto"/>
            <w:bottom w:val="none" w:sz="0" w:space="0" w:color="auto"/>
            <w:right w:val="none" w:sz="0" w:space="0" w:color="auto"/>
          </w:divBdr>
        </w:div>
      </w:divsChild>
    </w:div>
    <w:div w:id="408503721">
      <w:bodyDiv w:val="1"/>
      <w:marLeft w:val="0"/>
      <w:marRight w:val="0"/>
      <w:marTop w:val="0"/>
      <w:marBottom w:val="0"/>
      <w:divBdr>
        <w:top w:val="none" w:sz="0" w:space="0" w:color="auto"/>
        <w:left w:val="none" w:sz="0" w:space="0" w:color="auto"/>
        <w:bottom w:val="none" w:sz="0" w:space="0" w:color="auto"/>
        <w:right w:val="none" w:sz="0" w:space="0" w:color="auto"/>
      </w:divBdr>
      <w:divsChild>
        <w:div w:id="711728062">
          <w:marLeft w:val="0"/>
          <w:marRight w:val="0"/>
          <w:marTop w:val="0"/>
          <w:marBottom w:val="0"/>
          <w:divBdr>
            <w:top w:val="none" w:sz="0" w:space="0" w:color="auto"/>
            <w:left w:val="none" w:sz="0" w:space="0" w:color="auto"/>
            <w:bottom w:val="none" w:sz="0" w:space="0" w:color="auto"/>
            <w:right w:val="none" w:sz="0" w:space="0" w:color="auto"/>
          </w:divBdr>
        </w:div>
        <w:div w:id="1452700083">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598219831">
      <w:bodyDiv w:val="1"/>
      <w:marLeft w:val="0"/>
      <w:marRight w:val="0"/>
      <w:marTop w:val="0"/>
      <w:marBottom w:val="0"/>
      <w:divBdr>
        <w:top w:val="none" w:sz="0" w:space="0" w:color="auto"/>
        <w:left w:val="none" w:sz="0" w:space="0" w:color="auto"/>
        <w:bottom w:val="none" w:sz="0" w:space="0" w:color="auto"/>
        <w:right w:val="none" w:sz="0" w:space="0" w:color="auto"/>
      </w:divBdr>
      <w:divsChild>
        <w:div w:id="1951627204">
          <w:marLeft w:val="0"/>
          <w:marRight w:val="0"/>
          <w:marTop w:val="0"/>
          <w:marBottom w:val="0"/>
          <w:divBdr>
            <w:top w:val="none" w:sz="0" w:space="0" w:color="auto"/>
            <w:left w:val="none" w:sz="0" w:space="0" w:color="auto"/>
            <w:bottom w:val="none" w:sz="0" w:space="0" w:color="auto"/>
            <w:right w:val="none" w:sz="0" w:space="0" w:color="auto"/>
          </w:divBdr>
        </w:div>
        <w:div w:id="1132527814">
          <w:marLeft w:val="0"/>
          <w:marRight w:val="0"/>
          <w:marTop w:val="0"/>
          <w:marBottom w:val="0"/>
          <w:divBdr>
            <w:top w:val="none" w:sz="0" w:space="0" w:color="auto"/>
            <w:left w:val="none" w:sz="0" w:space="0" w:color="auto"/>
            <w:bottom w:val="none" w:sz="0" w:space="0" w:color="auto"/>
            <w:right w:val="none" w:sz="0" w:space="0" w:color="auto"/>
          </w:divBdr>
        </w:div>
      </w:divsChild>
    </w:div>
    <w:div w:id="623534721">
      <w:bodyDiv w:val="1"/>
      <w:marLeft w:val="0"/>
      <w:marRight w:val="0"/>
      <w:marTop w:val="0"/>
      <w:marBottom w:val="0"/>
      <w:divBdr>
        <w:top w:val="none" w:sz="0" w:space="0" w:color="auto"/>
        <w:left w:val="none" w:sz="0" w:space="0" w:color="auto"/>
        <w:bottom w:val="none" w:sz="0" w:space="0" w:color="auto"/>
        <w:right w:val="none" w:sz="0" w:space="0" w:color="auto"/>
      </w:divBdr>
      <w:divsChild>
        <w:div w:id="1408192139">
          <w:marLeft w:val="0"/>
          <w:marRight w:val="0"/>
          <w:marTop w:val="0"/>
          <w:marBottom w:val="0"/>
          <w:divBdr>
            <w:top w:val="none" w:sz="0" w:space="0" w:color="auto"/>
            <w:left w:val="none" w:sz="0" w:space="0" w:color="auto"/>
            <w:bottom w:val="none" w:sz="0" w:space="0" w:color="auto"/>
            <w:right w:val="none" w:sz="0" w:space="0" w:color="auto"/>
          </w:divBdr>
        </w:div>
        <w:div w:id="1022899315">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786974729">
      <w:bodyDiv w:val="1"/>
      <w:marLeft w:val="0"/>
      <w:marRight w:val="0"/>
      <w:marTop w:val="0"/>
      <w:marBottom w:val="0"/>
      <w:divBdr>
        <w:top w:val="none" w:sz="0" w:space="0" w:color="auto"/>
        <w:left w:val="none" w:sz="0" w:space="0" w:color="auto"/>
        <w:bottom w:val="none" w:sz="0" w:space="0" w:color="auto"/>
        <w:right w:val="none" w:sz="0" w:space="0" w:color="auto"/>
      </w:divBdr>
      <w:divsChild>
        <w:div w:id="631403915">
          <w:marLeft w:val="0"/>
          <w:marRight w:val="0"/>
          <w:marTop w:val="0"/>
          <w:marBottom w:val="0"/>
          <w:divBdr>
            <w:top w:val="none" w:sz="0" w:space="0" w:color="auto"/>
            <w:left w:val="none" w:sz="0" w:space="0" w:color="auto"/>
            <w:bottom w:val="none" w:sz="0" w:space="0" w:color="auto"/>
            <w:right w:val="none" w:sz="0" w:space="0" w:color="auto"/>
          </w:divBdr>
        </w:div>
        <w:div w:id="1986623301">
          <w:marLeft w:val="0"/>
          <w:marRight w:val="0"/>
          <w:marTop w:val="0"/>
          <w:marBottom w:val="0"/>
          <w:divBdr>
            <w:top w:val="none" w:sz="0" w:space="0" w:color="auto"/>
            <w:left w:val="none" w:sz="0" w:space="0" w:color="auto"/>
            <w:bottom w:val="none" w:sz="0" w:space="0" w:color="auto"/>
            <w:right w:val="none" w:sz="0" w:space="0" w:color="auto"/>
          </w:divBdr>
        </w:div>
      </w:divsChild>
    </w:div>
    <w:div w:id="832531371">
      <w:bodyDiv w:val="1"/>
      <w:marLeft w:val="0"/>
      <w:marRight w:val="0"/>
      <w:marTop w:val="0"/>
      <w:marBottom w:val="0"/>
      <w:divBdr>
        <w:top w:val="none" w:sz="0" w:space="0" w:color="auto"/>
        <w:left w:val="none" w:sz="0" w:space="0" w:color="auto"/>
        <w:bottom w:val="none" w:sz="0" w:space="0" w:color="auto"/>
        <w:right w:val="none" w:sz="0" w:space="0" w:color="auto"/>
      </w:divBdr>
      <w:divsChild>
        <w:div w:id="146289135">
          <w:marLeft w:val="0"/>
          <w:marRight w:val="0"/>
          <w:marTop w:val="0"/>
          <w:marBottom w:val="0"/>
          <w:divBdr>
            <w:top w:val="none" w:sz="0" w:space="0" w:color="auto"/>
            <w:left w:val="none" w:sz="0" w:space="0" w:color="auto"/>
            <w:bottom w:val="none" w:sz="0" w:space="0" w:color="auto"/>
            <w:right w:val="none" w:sz="0" w:space="0" w:color="auto"/>
          </w:divBdr>
        </w:div>
        <w:div w:id="812212495">
          <w:marLeft w:val="0"/>
          <w:marRight w:val="0"/>
          <w:marTop w:val="0"/>
          <w:marBottom w:val="0"/>
          <w:divBdr>
            <w:top w:val="none" w:sz="0" w:space="0" w:color="auto"/>
            <w:left w:val="none" w:sz="0" w:space="0" w:color="auto"/>
            <w:bottom w:val="none" w:sz="0" w:space="0" w:color="auto"/>
            <w:right w:val="none" w:sz="0" w:space="0" w:color="auto"/>
          </w:divBdr>
        </w:div>
      </w:divsChild>
    </w:div>
    <w:div w:id="857960621">
      <w:bodyDiv w:val="1"/>
      <w:marLeft w:val="0"/>
      <w:marRight w:val="0"/>
      <w:marTop w:val="0"/>
      <w:marBottom w:val="0"/>
      <w:divBdr>
        <w:top w:val="none" w:sz="0" w:space="0" w:color="auto"/>
        <w:left w:val="none" w:sz="0" w:space="0" w:color="auto"/>
        <w:bottom w:val="none" w:sz="0" w:space="0" w:color="auto"/>
        <w:right w:val="none" w:sz="0" w:space="0" w:color="auto"/>
      </w:divBdr>
      <w:divsChild>
        <w:div w:id="1224637139">
          <w:marLeft w:val="0"/>
          <w:marRight w:val="0"/>
          <w:marTop w:val="0"/>
          <w:marBottom w:val="0"/>
          <w:divBdr>
            <w:top w:val="none" w:sz="0" w:space="0" w:color="auto"/>
            <w:left w:val="none" w:sz="0" w:space="0" w:color="auto"/>
            <w:bottom w:val="none" w:sz="0" w:space="0" w:color="auto"/>
            <w:right w:val="none" w:sz="0" w:space="0" w:color="auto"/>
          </w:divBdr>
        </w:div>
        <w:div w:id="599066032">
          <w:marLeft w:val="0"/>
          <w:marRight w:val="0"/>
          <w:marTop w:val="0"/>
          <w:marBottom w:val="0"/>
          <w:divBdr>
            <w:top w:val="none" w:sz="0" w:space="0" w:color="auto"/>
            <w:left w:val="none" w:sz="0" w:space="0" w:color="auto"/>
            <w:bottom w:val="none" w:sz="0" w:space="0" w:color="auto"/>
            <w:right w:val="none" w:sz="0" w:space="0" w:color="auto"/>
          </w:divBdr>
        </w:div>
      </w:divsChild>
    </w:div>
    <w:div w:id="876745805">
      <w:bodyDiv w:val="1"/>
      <w:marLeft w:val="0"/>
      <w:marRight w:val="0"/>
      <w:marTop w:val="0"/>
      <w:marBottom w:val="0"/>
      <w:divBdr>
        <w:top w:val="none" w:sz="0" w:space="0" w:color="auto"/>
        <w:left w:val="none" w:sz="0" w:space="0" w:color="auto"/>
        <w:bottom w:val="none" w:sz="0" w:space="0" w:color="auto"/>
        <w:right w:val="none" w:sz="0" w:space="0" w:color="auto"/>
      </w:divBdr>
      <w:divsChild>
        <w:div w:id="1386177335">
          <w:marLeft w:val="0"/>
          <w:marRight w:val="0"/>
          <w:marTop w:val="0"/>
          <w:marBottom w:val="0"/>
          <w:divBdr>
            <w:top w:val="none" w:sz="0" w:space="0" w:color="auto"/>
            <w:left w:val="none" w:sz="0" w:space="0" w:color="auto"/>
            <w:bottom w:val="none" w:sz="0" w:space="0" w:color="auto"/>
            <w:right w:val="none" w:sz="0" w:space="0" w:color="auto"/>
          </w:divBdr>
        </w:div>
        <w:div w:id="1839349028">
          <w:marLeft w:val="0"/>
          <w:marRight w:val="0"/>
          <w:marTop w:val="0"/>
          <w:marBottom w:val="0"/>
          <w:divBdr>
            <w:top w:val="none" w:sz="0" w:space="0" w:color="auto"/>
            <w:left w:val="none" w:sz="0" w:space="0" w:color="auto"/>
            <w:bottom w:val="none" w:sz="0" w:space="0" w:color="auto"/>
            <w:right w:val="none" w:sz="0" w:space="0" w:color="auto"/>
          </w:divBdr>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361468595">
      <w:bodyDiv w:val="1"/>
      <w:marLeft w:val="0"/>
      <w:marRight w:val="0"/>
      <w:marTop w:val="0"/>
      <w:marBottom w:val="0"/>
      <w:divBdr>
        <w:top w:val="none" w:sz="0" w:space="0" w:color="auto"/>
        <w:left w:val="none" w:sz="0" w:space="0" w:color="auto"/>
        <w:bottom w:val="none" w:sz="0" w:space="0" w:color="auto"/>
        <w:right w:val="none" w:sz="0" w:space="0" w:color="auto"/>
      </w:divBdr>
      <w:divsChild>
        <w:div w:id="1533768617">
          <w:marLeft w:val="0"/>
          <w:marRight w:val="0"/>
          <w:marTop w:val="0"/>
          <w:marBottom w:val="0"/>
          <w:divBdr>
            <w:top w:val="none" w:sz="0" w:space="0" w:color="auto"/>
            <w:left w:val="none" w:sz="0" w:space="0" w:color="auto"/>
            <w:bottom w:val="none" w:sz="0" w:space="0" w:color="auto"/>
            <w:right w:val="none" w:sz="0" w:space="0" w:color="auto"/>
          </w:divBdr>
        </w:div>
        <w:div w:id="1358702170">
          <w:marLeft w:val="0"/>
          <w:marRight w:val="0"/>
          <w:marTop w:val="0"/>
          <w:marBottom w:val="0"/>
          <w:divBdr>
            <w:top w:val="none" w:sz="0" w:space="0" w:color="auto"/>
            <w:left w:val="none" w:sz="0" w:space="0" w:color="auto"/>
            <w:bottom w:val="none" w:sz="0" w:space="0" w:color="auto"/>
            <w:right w:val="none" w:sz="0" w:space="0" w:color="auto"/>
          </w:divBdr>
        </w:div>
      </w:divsChild>
    </w:div>
    <w:div w:id="1372799455">
      <w:bodyDiv w:val="1"/>
      <w:marLeft w:val="0"/>
      <w:marRight w:val="0"/>
      <w:marTop w:val="0"/>
      <w:marBottom w:val="0"/>
      <w:divBdr>
        <w:top w:val="none" w:sz="0" w:space="0" w:color="auto"/>
        <w:left w:val="none" w:sz="0" w:space="0" w:color="auto"/>
        <w:bottom w:val="none" w:sz="0" w:space="0" w:color="auto"/>
        <w:right w:val="none" w:sz="0" w:space="0" w:color="auto"/>
      </w:divBdr>
      <w:divsChild>
        <w:div w:id="1730763148">
          <w:marLeft w:val="0"/>
          <w:marRight w:val="0"/>
          <w:marTop w:val="0"/>
          <w:marBottom w:val="0"/>
          <w:divBdr>
            <w:top w:val="none" w:sz="0" w:space="0" w:color="auto"/>
            <w:left w:val="none" w:sz="0" w:space="0" w:color="auto"/>
            <w:bottom w:val="none" w:sz="0" w:space="0" w:color="auto"/>
            <w:right w:val="none" w:sz="0" w:space="0" w:color="auto"/>
          </w:divBdr>
        </w:div>
        <w:div w:id="1980727277">
          <w:marLeft w:val="0"/>
          <w:marRight w:val="0"/>
          <w:marTop w:val="0"/>
          <w:marBottom w:val="0"/>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21877830">
      <w:bodyDiv w:val="1"/>
      <w:marLeft w:val="0"/>
      <w:marRight w:val="0"/>
      <w:marTop w:val="0"/>
      <w:marBottom w:val="0"/>
      <w:divBdr>
        <w:top w:val="none" w:sz="0" w:space="0" w:color="auto"/>
        <w:left w:val="none" w:sz="0" w:space="0" w:color="auto"/>
        <w:bottom w:val="none" w:sz="0" w:space="0" w:color="auto"/>
        <w:right w:val="none" w:sz="0" w:space="0" w:color="auto"/>
      </w:divBdr>
      <w:divsChild>
        <w:div w:id="221600780">
          <w:marLeft w:val="0"/>
          <w:marRight w:val="0"/>
          <w:marTop w:val="0"/>
          <w:marBottom w:val="0"/>
          <w:divBdr>
            <w:top w:val="none" w:sz="0" w:space="0" w:color="auto"/>
            <w:left w:val="none" w:sz="0" w:space="0" w:color="auto"/>
            <w:bottom w:val="none" w:sz="0" w:space="0" w:color="auto"/>
            <w:right w:val="none" w:sz="0" w:space="0" w:color="auto"/>
          </w:divBdr>
        </w:div>
        <w:div w:id="1234200232">
          <w:marLeft w:val="0"/>
          <w:marRight w:val="0"/>
          <w:marTop w:val="0"/>
          <w:marBottom w:val="0"/>
          <w:divBdr>
            <w:top w:val="none" w:sz="0" w:space="0" w:color="auto"/>
            <w:left w:val="none" w:sz="0" w:space="0" w:color="auto"/>
            <w:bottom w:val="none" w:sz="0" w:space="0" w:color="auto"/>
            <w:right w:val="none" w:sz="0" w:space="0" w:color="auto"/>
          </w:divBdr>
        </w:div>
        <w:div w:id="1578898015">
          <w:marLeft w:val="0"/>
          <w:marRight w:val="0"/>
          <w:marTop w:val="0"/>
          <w:marBottom w:val="0"/>
          <w:divBdr>
            <w:top w:val="none" w:sz="0" w:space="0" w:color="auto"/>
            <w:left w:val="none" w:sz="0" w:space="0" w:color="auto"/>
            <w:bottom w:val="none" w:sz="0" w:space="0" w:color="auto"/>
            <w:right w:val="none" w:sz="0" w:space="0" w:color="auto"/>
          </w:divBdr>
        </w:div>
      </w:divsChild>
    </w:div>
    <w:div w:id="1425303504">
      <w:bodyDiv w:val="1"/>
      <w:marLeft w:val="0"/>
      <w:marRight w:val="0"/>
      <w:marTop w:val="0"/>
      <w:marBottom w:val="0"/>
      <w:divBdr>
        <w:top w:val="none" w:sz="0" w:space="0" w:color="auto"/>
        <w:left w:val="none" w:sz="0" w:space="0" w:color="auto"/>
        <w:bottom w:val="none" w:sz="0" w:space="0" w:color="auto"/>
        <w:right w:val="none" w:sz="0" w:space="0" w:color="auto"/>
      </w:divBdr>
      <w:divsChild>
        <w:div w:id="1962371586">
          <w:marLeft w:val="0"/>
          <w:marRight w:val="0"/>
          <w:marTop w:val="0"/>
          <w:marBottom w:val="0"/>
          <w:divBdr>
            <w:top w:val="none" w:sz="0" w:space="0" w:color="auto"/>
            <w:left w:val="none" w:sz="0" w:space="0" w:color="auto"/>
            <w:bottom w:val="none" w:sz="0" w:space="0" w:color="auto"/>
            <w:right w:val="none" w:sz="0" w:space="0" w:color="auto"/>
          </w:divBdr>
        </w:div>
        <w:div w:id="2138716389">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684362772">
      <w:bodyDiv w:val="1"/>
      <w:marLeft w:val="0"/>
      <w:marRight w:val="0"/>
      <w:marTop w:val="0"/>
      <w:marBottom w:val="0"/>
      <w:divBdr>
        <w:top w:val="none" w:sz="0" w:space="0" w:color="auto"/>
        <w:left w:val="none" w:sz="0" w:space="0" w:color="auto"/>
        <w:bottom w:val="none" w:sz="0" w:space="0" w:color="auto"/>
        <w:right w:val="none" w:sz="0" w:space="0" w:color="auto"/>
      </w:divBdr>
      <w:divsChild>
        <w:div w:id="887687788">
          <w:marLeft w:val="0"/>
          <w:marRight w:val="0"/>
          <w:marTop w:val="0"/>
          <w:marBottom w:val="0"/>
          <w:divBdr>
            <w:top w:val="none" w:sz="0" w:space="0" w:color="auto"/>
            <w:left w:val="none" w:sz="0" w:space="0" w:color="auto"/>
            <w:bottom w:val="none" w:sz="0" w:space="0" w:color="auto"/>
            <w:right w:val="none" w:sz="0" w:space="0" w:color="auto"/>
          </w:divBdr>
        </w:div>
        <w:div w:id="1372264175">
          <w:marLeft w:val="0"/>
          <w:marRight w:val="0"/>
          <w:marTop w:val="0"/>
          <w:marBottom w:val="0"/>
          <w:divBdr>
            <w:top w:val="none" w:sz="0" w:space="0" w:color="auto"/>
            <w:left w:val="none" w:sz="0" w:space="0" w:color="auto"/>
            <w:bottom w:val="none" w:sz="0" w:space="0" w:color="auto"/>
            <w:right w:val="none" w:sz="0" w:space="0" w:color="auto"/>
          </w:divBdr>
        </w:div>
      </w:divsChild>
    </w:div>
    <w:div w:id="1700356772">
      <w:bodyDiv w:val="1"/>
      <w:marLeft w:val="0"/>
      <w:marRight w:val="0"/>
      <w:marTop w:val="0"/>
      <w:marBottom w:val="0"/>
      <w:divBdr>
        <w:top w:val="none" w:sz="0" w:space="0" w:color="auto"/>
        <w:left w:val="none" w:sz="0" w:space="0" w:color="auto"/>
        <w:bottom w:val="none" w:sz="0" w:space="0" w:color="auto"/>
        <w:right w:val="none" w:sz="0" w:space="0" w:color="auto"/>
      </w:divBdr>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 w:id="1837379637">
      <w:bodyDiv w:val="1"/>
      <w:marLeft w:val="0"/>
      <w:marRight w:val="0"/>
      <w:marTop w:val="0"/>
      <w:marBottom w:val="0"/>
      <w:divBdr>
        <w:top w:val="none" w:sz="0" w:space="0" w:color="auto"/>
        <w:left w:val="none" w:sz="0" w:space="0" w:color="auto"/>
        <w:bottom w:val="none" w:sz="0" w:space="0" w:color="auto"/>
        <w:right w:val="none" w:sz="0" w:space="0" w:color="auto"/>
      </w:divBdr>
      <w:divsChild>
        <w:div w:id="650601936">
          <w:marLeft w:val="0"/>
          <w:marRight w:val="0"/>
          <w:marTop w:val="0"/>
          <w:marBottom w:val="0"/>
          <w:divBdr>
            <w:top w:val="none" w:sz="0" w:space="0" w:color="auto"/>
            <w:left w:val="none" w:sz="0" w:space="0" w:color="auto"/>
            <w:bottom w:val="none" w:sz="0" w:space="0" w:color="auto"/>
            <w:right w:val="none" w:sz="0" w:space="0" w:color="auto"/>
          </w:divBdr>
        </w:div>
        <w:div w:id="2044865558">
          <w:marLeft w:val="0"/>
          <w:marRight w:val="0"/>
          <w:marTop w:val="0"/>
          <w:marBottom w:val="0"/>
          <w:divBdr>
            <w:top w:val="none" w:sz="0" w:space="0" w:color="auto"/>
            <w:left w:val="none" w:sz="0" w:space="0" w:color="auto"/>
            <w:bottom w:val="none" w:sz="0" w:space="0" w:color="auto"/>
            <w:right w:val="none" w:sz="0" w:space="0" w:color="auto"/>
          </w:divBdr>
        </w:div>
      </w:divsChild>
    </w:div>
    <w:div w:id="1925067618">
      <w:bodyDiv w:val="1"/>
      <w:marLeft w:val="0"/>
      <w:marRight w:val="0"/>
      <w:marTop w:val="0"/>
      <w:marBottom w:val="0"/>
      <w:divBdr>
        <w:top w:val="none" w:sz="0" w:space="0" w:color="auto"/>
        <w:left w:val="none" w:sz="0" w:space="0" w:color="auto"/>
        <w:bottom w:val="none" w:sz="0" w:space="0" w:color="auto"/>
        <w:right w:val="none" w:sz="0" w:space="0" w:color="auto"/>
      </w:divBdr>
      <w:divsChild>
        <w:div w:id="984969502">
          <w:marLeft w:val="0"/>
          <w:marRight w:val="0"/>
          <w:marTop w:val="0"/>
          <w:marBottom w:val="0"/>
          <w:divBdr>
            <w:top w:val="none" w:sz="0" w:space="0" w:color="auto"/>
            <w:left w:val="none" w:sz="0" w:space="0" w:color="auto"/>
            <w:bottom w:val="none" w:sz="0" w:space="0" w:color="auto"/>
            <w:right w:val="none" w:sz="0" w:space="0" w:color="auto"/>
          </w:divBdr>
        </w:div>
        <w:div w:id="1040672271">
          <w:marLeft w:val="0"/>
          <w:marRight w:val="0"/>
          <w:marTop w:val="0"/>
          <w:marBottom w:val="0"/>
          <w:divBdr>
            <w:top w:val="none" w:sz="0" w:space="0" w:color="auto"/>
            <w:left w:val="none" w:sz="0" w:space="0" w:color="auto"/>
            <w:bottom w:val="none" w:sz="0" w:space="0" w:color="auto"/>
            <w:right w:val="none" w:sz="0" w:space="0" w:color="auto"/>
          </w:divBdr>
        </w:div>
      </w:divsChild>
    </w:div>
    <w:div w:id="1953131204">
      <w:bodyDiv w:val="1"/>
      <w:marLeft w:val="0"/>
      <w:marRight w:val="0"/>
      <w:marTop w:val="0"/>
      <w:marBottom w:val="0"/>
      <w:divBdr>
        <w:top w:val="none" w:sz="0" w:space="0" w:color="auto"/>
        <w:left w:val="none" w:sz="0" w:space="0" w:color="auto"/>
        <w:bottom w:val="none" w:sz="0" w:space="0" w:color="auto"/>
        <w:right w:val="none" w:sz="0" w:space="0" w:color="auto"/>
      </w:divBdr>
      <w:divsChild>
        <w:div w:id="2056850906">
          <w:marLeft w:val="0"/>
          <w:marRight w:val="0"/>
          <w:marTop w:val="0"/>
          <w:marBottom w:val="0"/>
          <w:divBdr>
            <w:top w:val="none" w:sz="0" w:space="0" w:color="auto"/>
            <w:left w:val="none" w:sz="0" w:space="0" w:color="auto"/>
            <w:bottom w:val="none" w:sz="0" w:space="0" w:color="auto"/>
            <w:right w:val="none" w:sz="0" w:space="0" w:color="auto"/>
          </w:divBdr>
        </w:div>
        <w:div w:id="1802647028">
          <w:marLeft w:val="0"/>
          <w:marRight w:val="0"/>
          <w:marTop w:val="0"/>
          <w:marBottom w:val="0"/>
          <w:divBdr>
            <w:top w:val="none" w:sz="0" w:space="0" w:color="auto"/>
            <w:left w:val="none" w:sz="0" w:space="0" w:color="auto"/>
            <w:bottom w:val="none" w:sz="0" w:space="0" w:color="auto"/>
            <w:right w:val="none" w:sz="0" w:space="0" w:color="auto"/>
          </w:divBdr>
        </w:div>
      </w:divsChild>
    </w:div>
    <w:div w:id="1991251448">
      <w:bodyDiv w:val="1"/>
      <w:marLeft w:val="0"/>
      <w:marRight w:val="0"/>
      <w:marTop w:val="0"/>
      <w:marBottom w:val="0"/>
      <w:divBdr>
        <w:top w:val="none" w:sz="0" w:space="0" w:color="auto"/>
        <w:left w:val="none" w:sz="0" w:space="0" w:color="auto"/>
        <w:bottom w:val="none" w:sz="0" w:space="0" w:color="auto"/>
        <w:right w:val="none" w:sz="0" w:space="0" w:color="auto"/>
      </w:divBdr>
      <w:divsChild>
        <w:div w:id="2099448049">
          <w:marLeft w:val="0"/>
          <w:marRight w:val="0"/>
          <w:marTop w:val="0"/>
          <w:marBottom w:val="0"/>
          <w:divBdr>
            <w:top w:val="none" w:sz="0" w:space="0" w:color="auto"/>
            <w:left w:val="none" w:sz="0" w:space="0" w:color="auto"/>
            <w:bottom w:val="none" w:sz="0" w:space="0" w:color="auto"/>
            <w:right w:val="none" w:sz="0" w:space="0" w:color="auto"/>
          </w:divBdr>
        </w:div>
        <w:div w:id="157813247">
          <w:marLeft w:val="0"/>
          <w:marRight w:val="0"/>
          <w:marTop w:val="0"/>
          <w:marBottom w:val="0"/>
          <w:divBdr>
            <w:top w:val="none" w:sz="0" w:space="0" w:color="auto"/>
            <w:left w:val="none" w:sz="0" w:space="0" w:color="auto"/>
            <w:bottom w:val="none" w:sz="0" w:space="0" w:color="auto"/>
            <w:right w:val="none" w:sz="0" w:space="0" w:color="auto"/>
          </w:divBdr>
        </w:div>
      </w:divsChild>
    </w:div>
    <w:div w:id="2121294356">
      <w:bodyDiv w:val="1"/>
      <w:marLeft w:val="0"/>
      <w:marRight w:val="0"/>
      <w:marTop w:val="0"/>
      <w:marBottom w:val="0"/>
      <w:divBdr>
        <w:top w:val="none" w:sz="0" w:space="0" w:color="auto"/>
        <w:left w:val="none" w:sz="0" w:space="0" w:color="auto"/>
        <w:bottom w:val="none" w:sz="0" w:space="0" w:color="auto"/>
        <w:right w:val="none" w:sz="0" w:space="0" w:color="auto"/>
      </w:divBdr>
    </w:div>
    <w:div w:id="2121993511">
      <w:bodyDiv w:val="1"/>
      <w:marLeft w:val="0"/>
      <w:marRight w:val="0"/>
      <w:marTop w:val="0"/>
      <w:marBottom w:val="0"/>
      <w:divBdr>
        <w:top w:val="none" w:sz="0" w:space="0" w:color="auto"/>
        <w:left w:val="none" w:sz="0" w:space="0" w:color="auto"/>
        <w:bottom w:val="none" w:sz="0" w:space="0" w:color="auto"/>
        <w:right w:val="none" w:sz="0" w:space="0" w:color="auto"/>
      </w:divBdr>
      <w:divsChild>
        <w:div w:id="1407655208">
          <w:marLeft w:val="0"/>
          <w:marRight w:val="0"/>
          <w:marTop w:val="0"/>
          <w:marBottom w:val="0"/>
          <w:divBdr>
            <w:top w:val="none" w:sz="0" w:space="0" w:color="auto"/>
            <w:left w:val="none" w:sz="0" w:space="0" w:color="auto"/>
            <w:bottom w:val="none" w:sz="0" w:space="0" w:color="auto"/>
            <w:right w:val="none" w:sz="0" w:space="0" w:color="auto"/>
          </w:divBdr>
        </w:div>
        <w:div w:id="123088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C9DD7-F552-4C26-9DBA-286A6F365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4</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PC</cp:lastModifiedBy>
  <cp:revision>130</cp:revision>
  <cp:lastPrinted>2022-10-28T02:05:00Z</cp:lastPrinted>
  <dcterms:created xsi:type="dcterms:W3CDTF">2022-04-25T07:37:00Z</dcterms:created>
  <dcterms:modified xsi:type="dcterms:W3CDTF">2022-12-16T03:06:00Z</dcterms:modified>
</cp:coreProperties>
</file>